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225E" w14:textId="1BDF9515" w:rsidR="00144A13" w:rsidRDefault="00782040" w:rsidP="00144A13">
      <w:pPr>
        <w:spacing w:after="0"/>
        <w:rPr>
          <w:rFonts w:ascii="Arial" w:hAnsi="Arial" w:cs="Arial"/>
          <w:b/>
          <w:sz w:val="64"/>
          <w:szCs w:val="64"/>
        </w:rPr>
      </w:pPr>
      <w:r>
        <w:rPr>
          <w:rFonts w:ascii="Arial" w:hAnsi="Arial" w:cs="Arial"/>
          <w:b/>
          <w:sz w:val="64"/>
          <w:szCs w:val="64"/>
        </w:rPr>
        <w:t>Abschlussbogen</w:t>
      </w:r>
    </w:p>
    <w:p w14:paraId="582B149A" w14:textId="0CEDC47E"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w:t>
      </w:r>
      <w:r w:rsidR="0038551E">
        <w:rPr>
          <w:b/>
          <w:bCs/>
          <w:color w:val="auto"/>
          <w:sz w:val="40"/>
          <w:szCs w:val="40"/>
        </w:rPr>
        <w:t>SE</w:t>
      </w:r>
      <w:r w:rsidRPr="00393AB6">
        <w:rPr>
          <w:b/>
          <w:bCs/>
          <w:color w:val="auto"/>
          <w:sz w:val="40"/>
          <w:szCs w:val="40"/>
        </w:rPr>
        <w:t>K)</w:t>
      </w:r>
      <w:r>
        <w:rPr>
          <w:b/>
          <w:bCs/>
          <w:sz w:val="40"/>
          <w:szCs w:val="40"/>
        </w:rPr>
        <w:t xml:space="preserve"> – Schwerpunkt </w:t>
      </w:r>
      <w:r w:rsidR="005D2155">
        <w:rPr>
          <w:b/>
          <w:bCs/>
          <w:sz w:val="40"/>
          <w:szCs w:val="40"/>
        </w:rPr>
        <w:t>Brach- und Konversionsflächen sowie Einzelvorhaben Regio.NRW</w:t>
      </w:r>
      <w:r w:rsidR="00144A13">
        <w:rPr>
          <w:b/>
          <w:sz w:val="40"/>
          <w:szCs w:val="40"/>
        </w:rPr>
        <w:t xml:space="preserve"> </w:t>
      </w:r>
      <w:r w:rsidR="00144A13">
        <w:rPr>
          <w:b/>
          <w:sz w:val="40"/>
          <w:szCs w:val="40"/>
        </w:rPr>
        <w:br/>
      </w:r>
    </w:p>
    <w:p w14:paraId="7FD01728" w14:textId="7A913B2C" w:rsidR="00144A13" w:rsidRDefault="005D2155" w:rsidP="00144A13">
      <w:pPr>
        <w:spacing w:after="0"/>
        <w:rPr>
          <w:rFonts w:ascii="Arial" w:hAnsi="Arial" w:cs="Arial"/>
          <w:b/>
          <w:sz w:val="20"/>
          <w:szCs w:val="20"/>
        </w:rPr>
      </w:pPr>
      <w:r w:rsidRPr="005D2155">
        <w:rPr>
          <w:rFonts w:ascii="Arial" w:hAnsi="Arial" w:cs="Arial"/>
          <w:sz w:val="28"/>
          <w:szCs w:val="28"/>
        </w:rPr>
        <w:t>Brach- und Konversionsflächen (Spez. Ziel 13</w:t>
      </w:r>
      <w:r w:rsidR="00C865FE">
        <w:rPr>
          <w:rFonts w:ascii="Arial" w:hAnsi="Arial" w:cs="Arial"/>
          <w:sz w:val="28"/>
          <w:szCs w:val="28"/>
        </w:rPr>
        <w:t xml:space="preserve">, </w:t>
      </w:r>
      <w:r w:rsidR="00C865FE" w:rsidRPr="00C865FE">
        <w:rPr>
          <w:rFonts w:ascii="Arial" w:hAnsi="Arial" w:cs="Arial"/>
          <w:sz w:val="28"/>
          <w:szCs w:val="28"/>
        </w:rPr>
        <w:t>ex-post Monitoringbogen</w:t>
      </w:r>
      <w:r w:rsidRPr="005D2155">
        <w:rPr>
          <w:rFonts w:ascii="Arial" w:hAnsi="Arial" w:cs="Arial"/>
          <w:sz w:val="28"/>
          <w:szCs w:val="28"/>
        </w:rPr>
        <w:t>)</w:t>
      </w: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7A2889B0" w:rsidR="00C1687C" w:rsidRPr="006D78C2" w:rsidRDefault="00C1687C" w:rsidP="00CC1EB0">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w:t>
            </w:r>
            <w:r>
              <w:rPr>
                <w:rFonts w:ascii="Arial" w:hAnsi="Arial" w:cs="Arial"/>
                <w:b/>
                <w:sz w:val="20"/>
                <w:szCs w:val="20"/>
              </w:rPr>
              <w:t>direkt</w:t>
            </w:r>
            <w:r w:rsidR="00FC34C6">
              <w:rPr>
                <w:rFonts w:ascii="Arial" w:hAnsi="Arial" w:cs="Arial"/>
                <w:b/>
                <w:sz w:val="20"/>
                <w:szCs w:val="20"/>
              </w:rPr>
              <w:t xml:space="preserve"> </w:t>
            </w:r>
            <w:r w:rsidR="00CC1EB0">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003725BE" w:rsidR="00C1687C" w:rsidRPr="006D78C2" w:rsidRDefault="00C1687C" w:rsidP="00CC1EB0">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DD57F81"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w:t>
            </w:r>
            <w:bookmarkStart w:id="0" w:name="_GoBack"/>
            <w:bookmarkEnd w:id="0"/>
            <w:r>
              <w:rPr>
                <w:rFonts w:ascii="Arial" w:hAnsi="Arial" w:cs="Arial"/>
                <w:sz w:val="20"/>
                <w:szCs w:val="20"/>
              </w:rPr>
              <w:t xml:space="preserve">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AF7319">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5D2155" w:rsidRPr="006D78C2" w14:paraId="1BBB01D4" w14:textId="77777777" w:rsidTr="00241D8F">
        <w:tc>
          <w:tcPr>
            <w:tcW w:w="7054" w:type="dxa"/>
            <w:tcBorders>
              <w:top w:val="nil"/>
              <w:left w:val="nil"/>
              <w:bottom w:val="nil"/>
              <w:right w:val="nil"/>
            </w:tcBorders>
          </w:tcPr>
          <w:p w14:paraId="1BBB01D2" w14:textId="0B2CC719" w:rsidR="005D2155" w:rsidRPr="00917509" w:rsidRDefault="005D2155" w:rsidP="00782040">
            <w:pPr>
              <w:spacing w:line="276" w:lineRule="auto"/>
              <w:rPr>
                <w:rFonts w:ascii="Arial" w:hAnsi="Arial" w:cs="Arial"/>
                <w:sz w:val="20"/>
                <w:szCs w:val="20"/>
              </w:rPr>
            </w:pPr>
            <w:r>
              <w:rPr>
                <w:rFonts w:ascii="Arial" w:hAnsi="Arial" w:cs="Arial"/>
                <w:sz w:val="20"/>
                <w:szCs w:val="20"/>
              </w:rPr>
              <w:t>6</w:t>
            </w:r>
            <w:r w:rsidRPr="00917509">
              <w:rPr>
                <w:rFonts w:ascii="Arial" w:hAnsi="Arial" w:cs="Arial"/>
                <w:sz w:val="20"/>
                <w:szCs w:val="20"/>
              </w:rPr>
              <w:t xml:space="preserve">. </w:t>
            </w:r>
            <w:r w:rsidR="00782040">
              <w:rPr>
                <w:rFonts w:ascii="Arial" w:hAnsi="Arial" w:cs="Arial"/>
                <w:sz w:val="20"/>
                <w:szCs w:val="20"/>
              </w:rPr>
              <w:t>Neu</w:t>
            </w:r>
            <w:r w:rsidRPr="005C6515">
              <w:rPr>
                <w:rFonts w:ascii="Arial" w:hAnsi="Arial" w:cs="Arial"/>
                <w:sz w:val="20"/>
                <w:szCs w:val="20"/>
              </w:rPr>
              <w:t xml:space="preserve"> geschaffene/sanierte </w:t>
            </w:r>
            <w:r w:rsidRPr="005C6515">
              <w:rPr>
                <w:rFonts w:ascii="Arial" w:hAnsi="Arial" w:cs="Arial"/>
                <w:b/>
                <w:sz w:val="20"/>
                <w:szCs w:val="20"/>
              </w:rPr>
              <w:t>Flächen</w:t>
            </w:r>
            <w:r w:rsidRPr="005C6515">
              <w:rPr>
                <w:rFonts w:ascii="Arial" w:hAnsi="Arial" w:cs="Arial"/>
                <w:sz w:val="20"/>
                <w:szCs w:val="20"/>
              </w:rPr>
              <w:t xml:space="preserve"> in</w:t>
            </w:r>
            <w:r w:rsidRPr="00603584">
              <w:rPr>
                <w:rFonts w:ascii="Arial" w:hAnsi="Arial" w:cs="Arial"/>
                <w:sz w:val="20"/>
                <w:szCs w:val="20"/>
              </w:rPr>
              <w:t xml:space="preserve"> de</w:t>
            </w:r>
            <w:r>
              <w:rPr>
                <w:rFonts w:ascii="Arial" w:hAnsi="Arial" w:cs="Arial"/>
                <w:sz w:val="20"/>
                <w:szCs w:val="20"/>
              </w:rPr>
              <w:t>m</w:t>
            </w:r>
            <w:r w:rsidRPr="00603584">
              <w:rPr>
                <w:rFonts w:ascii="Arial" w:hAnsi="Arial" w:cs="Arial"/>
                <w:sz w:val="20"/>
                <w:szCs w:val="20"/>
              </w:rPr>
              <w:t xml:space="preserve"> geförderten </w:t>
            </w:r>
            <w:r>
              <w:rPr>
                <w:rFonts w:ascii="Arial" w:hAnsi="Arial" w:cs="Arial"/>
                <w:sz w:val="20"/>
                <w:szCs w:val="20"/>
              </w:rPr>
              <w:t>Projekt (qm):</w:t>
            </w:r>
            <w:r w:rsidRPr="00603584">
              <w:rPr>
                <w:rFonts w:ascii="Arial" w:hAnsi="Arial" w:cs="Arial"/>
                <w:sz w:val="20"/>
                <w:szCs w:val="20"/>
              </w:rPr>
              <w:t xml:space="preserve"> </w:t>
            </w:r>
          </w:p>
        </w:tc>
        <w:tc>
          <w:tcPr>
            <w:tcW w:w="2158" w:type="dxa"/>
            <w:tcBorders>
              <w:top w:val="nil"/>
              <w:left w:val="nil"/>
              <w:bottom w:val="nil"/>
              <w:right w:val="nil"/>
            </w:tcBorders>
          </w:tcPr>
          <w:p w14:paraId="4B64F3E5" w14:textId="77777777" w:rsidR="005D2155" w:rsidRDefault="005D2155" w:rsidP="00375985">
            <w:pPr>
              <w:spacing w:after="120" w:line="276" w:lineRule="auto"/>
              <w:rPr>
                <w:rFonts w:ascii="Arial" w:hAnsi="Arial" w:cs="Arial"/>
                <w:sz w:val="20"/>
                <w:szCs w:val="20"/>
              </w:rPr>
            </w:pPr>
            <w:r>
              <w:rPr>
                <w:rFonts w:ascii="Arial" w:hAnsi="Arial" w:cs="Arial"/>
                <w:sz w:val="20"/>
                <w:szCs w:val="20"/>
              </w:rPr>
              <w:t>_______ (gesamt)</w:t>
            </w:r>
          </w:p>
          <w:p w14:paraId="1BBB01D3" w14:textId="7AED6F1B" w:rsidR="005D2155" w:rsidRPr="00917509" w:rsidRDefault="005D2155" w:rsidP="00655315">
            <w:pPr>
              <w:spacing w:after="120" w:line="276" w:lineRule="auto"/>
              <w:rPr>
                <w:rFonts w:ascii="Arial" w:hAnsi="Arial" w:cs="Arial"/>
                <w:sz w:val="20"/>
                <w:szCs w:val="20"/>
              </w:rPr>
            </w:pPr>
            <w:r>
              <w:rPr>
                <w:rFonts w:ascii="Arial" w:hAnsi="Arial" w:cs="Arial"/>
                <w:sz w:val="20"/>
                <w:szCs w:val="20"/>
              </w:rPr>
              <w:t>_______ (Freifläche)</w:t>
            </w:r>
          </w:p>
        </w:tc>
      </w:tr>
      <w:tr w:rsidR="005D2155" w:rsidRPr="006D78C2" w14:paraId="1BBB01D7" w14:textId="77777777" w:rsidTr="00241D8F">
        <w:tc>
          <w:tcPr>
            <w:tcW w:w="7054" w:type="dxa"/>
            <w:tcBorders>
              <w:top w:val="nil"/>
              <w:left w:val="nil"/>
              <w:bottom w:val="nil"/>
              <w:right w:val="nil"/>
            </w:tcBorders>
          </w:tcPr>
          <w:p w14:paraId="0954E2F2" w14:textId="056C12C3" w:rsidR="005D2155" w:rsidRDefault="005D2155" w:rsidP="00717E73">
            <w:pPr>
              <w:rPr>
                <w:rFonts w:ascii="Arial" w:hAnsi="Arial" w:cs="Arial"/>
                <w:sz w:val="20"/>
                <w:szCs w:val="20"/>
              </w:rPr>
            </w:pPr>
            <w:r>
              <w:rPr>
                <w:rFonts w:ascii="Arial" w:hAnsi="Arial" w:cs="Arial"/>
                <w:sz w:val="20"/>
                <w:szCs w:val="20"/>
              </w:rPr>
              <w:t>7</w:t>
            </w:r>
            <w:r w:rsidRPr="00917509">
              <w:rPr>
                <w:rFonts w:ascii="Arial" w:hAnsi="Arial" w:cs="Arial"/>
                <w:sz w:val="20"/>
                <w:szCs w:val="20"/>
              </w:rPr>
              <w:t xml:space="preserve">. </w:t>
            </w:r>
            <w:r w:rsidRPr="009B13A4">
              <w:rPr>
                <w:rFonts w:ascii="Arial" w:hAnsi="Arial" w:cs="Arial"/>
                <w:sz w:val="20"/>
                <w:szCs w:val="20"/>
              </w:rPr>
              <w:t xml:space="preserve">Nutzfläche in </w:t>
            </w:r>
            <w:r w:rsidRPr="009B13A4">
              <w:rPr>
                <w:rFonts w:ascii="Arial" w:hAnsi="Arial" w:cs="Arial"/>
                <w:b/>
                <w:sz w:val="20"/>
                <w:szCs w:val="20"/>
              </w:rPr>
              <w:t>leerstehendenden</w:t>
            </w:r>
            <w:r w:rsidRPr="00604630">
              <w:rPr>
                <w:rFonts w:ascii="Arial" w:hAnsi="Arial" w:cs="Arial"/>
                <w:b/>
                <w:sz w:val="20"/>
                <w:szCs w:val="20"/>
              </w:rPr>
              <w:t xml:space="preserve"> Gebäude</w:t>
            </w:r>
            <w:r>
              <w:rPr>
                <w:rFonts w:ascii="Arial" w:hAnsi="Arial" w:cs="Arial"/>
                <w:b/>
                <w:sz w:val="20"/>
                <w:szCs w:val="20"/>
              </w:rPr>
              <w:t>n</w:t>
            </w:r>
            <w:r w:rsidRPr="00C30C48">
              <w:rPr>
                <w:rFonts w:ascii="Arial" w:hAnsi="Arial" w:cs="Arial"/>
                <w:sz w:val="20"/>
                <w:szCs w:val="20"/>
              </w:rPr>
              <w:t>, die durch das Vorhaben</w:t>
            </w:r>
            <w:r w:rsidR="00782040">
              <w:rPr>
                <w:rFonts w:ascii="Arial" w:hAnsi="Arial" w:cs="Arial"/>
                <w:sz w:val="20"/>
                <w:szCs w:val="20"/>
              </w:rPr>
              <w:t xml:space="preserve"> </w:t>
            </w:r>
            <w:r>
              <w:rPr>
                <w:rFonts w:ascii="Arial" w:hAnsi="Arial" w:cs="Arial"/>
                <w:b/>
                <w:sz w:val="20"/>
                <w:szCs w:val="20"/>
              </w:rPr>
              <w:t xml:space="preserve"> neu- bzw. nachgenutzt </w:t>
            </w:r>
            <w:r>
              <w:rPr>
                <w:rFonts w:ascii="Arial" w:hAnsi="Arial" w:cs="Arial"/>
                <w:sz w:val="20"/>
                <w:szCs w:val="20"/>
              </w:rPr>
              <w:t>werden (qm):</w:t>
            </w:r>
          </w:p>
          <w:p w14:paraId="1EB4060D" w14:textId="77777777" w:rsidR="006D1E53" w:rsidRDefault="006D1E53" w:rsidP="00717E73">
            <w:pPr>
              <w:rPr>
                <w:rFonts w:ascii="Arial" w:hAnsi="Arial" w:cs="Arial"/>
                <w:sz w:val="20"/>
                <w:szCs w:val="20"/>
              </w:rPr>
            </w:pPr>
          </w:p>
          <w:p w14:paraId="1BBB01D5" w14:textId="16B0DB7F" w:rsidR="006D1E53" w:rsidRDefault="006D1E53" w:rsidP="00717E73">
            <w:pPr>
              <w:rPr>
                <w:rFonts w:ascii="Arial" w:hAnsi="Arial" w:cs="Arial"/>
                <w:sz w:val="20"/>
                <w:szCs w:val="20"/>
              </w:rPr>
            </w:pPr>
          </w:p>
        </w:tc>
        <w:tc>
          <w:tcPr>
            <w:tcW w:w="2158" w:type="dxa"/>
            <w:tcBorders>
              <w:top w:val="nil"/>
              <w:left w:val="nil"/>
              <w:bottom w:val="nil"/>
              <w:right w:val="nil"/>
            </w:tcBorders>
          </w:tcPr>
          <w:p w14:paraId="1BBB01D6" w14:textId="5DB5B37F" w:rsidR="005D2155" w:rsidRPr="00917509" w:rsidRDefault="006D1E53" w:rsidP="00717E73">
            <w:pPr>
              <w:spacing w:after="120"/>
              <w:rPr>
                <w:rFonts w:ascii="Arial" w:hAnsi="Arial" w:cs="Arial"/>
                <w:sz w:val="20"/>
                <w:szCs w:val="20"/>
              </w:rPr>
            </w:pPr>
            <w:r>
              <w:rPr>
                <w:rFonts w:ascii="Arial" w:hAnsi="Arial" w:cs="Arial"/>
                <w:sz w:val="20"/>
                <w:szCs w:val="20"/>
              </w:rPr>
              <w:br/>
            </w:r>
            <w:r w:rsidR="005D2155" w:rsidRPr="00917509">
              <w:rPr>
                <w:rFonts w:ascii="Arial" w:hAnsi="Arial" w:cs="Arial"/>
                <w:sz w:val="20"/>
                <w:szCs w:val="20"/>
              </w:rPr>
              <w:t>_________________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C" w14:textId="77777777" w:rsidR="00AE0BFA" w:rsidRDefault="00AE0BFA" w:rsidP="006D78C2">
            <w:pPr>
              <w:spacing w:line="276" w:lineRule="auto"/>
              <w:rPr>
                <w:rFonts w:ascii="Arial" w:hAnsi="Arial" w:cs="Arial"/>
                <w:sz w:val="20"/>
                <w:szCs w:val="20"/>
              </w:rPr>
            </w:pPr>
          </w:p>
          <w:p w14:paraId="66320E0A" w14:textId="77777777" w:rsidR="006D1E53" w:rsidRPr="006D78C2" w:rsidRDefault="006D1E53" w:rsidP="006D78C2">
            <w:pPr>
              <w:spacing w:line="276" w:lineRule="auto"/>
              <w:rPr>
                <w:rFonts w:ascii="Arial" w:hAnsi="Arial" w:cs="Arial"/>
                <w:sz w:val="20"/>
                <w:szCs w:val="20"/>
              </w:rPr>
            </w:pPr>
          </w:p>
          <w:p w14:paraId="1BBB01DD" w14:textId="77777777" w:rsidR="00AE0BFA" w:rsidRPr="006D78C2" w:rsidRDefault="00AE0BFA" w:rsidP="006D78C2">
            <w:pPr>
              <w:spacing w:line="276" w:lineRule="auto"/>
              <w:rPr>
                <w:rFonts w:ascii="Arial" w:hAnsi="Arial" w:cs="Arial"/>
                <w:sz w:val="20"/>
                <w:szCs w:val="20"/>
              </w:rPr>
            </w:pPr>
          </w:p>
        </w:tc>
      </w:tr>
    </w:tbl>
    <w:p w14:paraId="5629A915" w14:textId="77777777" w:rsidR="005D2155" w:rsidRDefault="005D2155">
      <w:pPr>
        <w:rPr>
          <w:rFonts w:ascii="Arial" w:hAnsi="Arial" w:cs="Arial"/>
          <w:b/>
          <w:sz w:val="40"/>
          <w:szCs w:val="40"/>
        </w:rPr>
      </w:pPr>
      <w:r>
        <w:rPr>
          <w:rFonts w:ascii="Arial" w:hAnsi="Arial" w:cs="Arial"/>
          <w:b/>
          <w:sz w:val="40"/>
          <w:szCs w:val="40"/>
        </w:rPr>
        <w:br w:type="page"/>
      </w:r>
    </w:p>
    <w:p w14:paraId="32901E72" w14:textId="71B26AFC" w:rsidR="00F75054" w:rsidRPr="005D2155" w:rsidRDefault="00F75054" w:rsidP="00F75054">
      <w:pPr>
        <w:spacing w:after="0" w:line="240" w:lineRule="auto"/>
        <w:rPr>
          <w:rFonts w:ascii="Arial" w:hAnsi="Arial" w:cs="Arial"/>
          <w:b/>
          <w:sz w:val="40"/>
          <w:szCs w:val="40"/>
        </w:rPr>
      </w:pPr>
      <w:r w:rsidRPr="00BC505A">
        <w:rPr>
          <w:rFonts w:ascii="Arial" w:hAnsi="Arial" w:cs="Arial"/>
          <w:b/>
          <w:sz w:val="40"/>
          <w:szCs w:val="40"/>
        </w:rPr>
        <w:lastRenderedPageBreak/>
        <w:t>Ausfüllhilfe</w:t>
      </w:r>
      <w:r w:rsidR="003E4BD8" w:rsidRPr="003E4BD8">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782040">
        <w:rPr>
          <w:rFonts w:ascii="Arial" w:hAnsi="Arial" w:cs="Arial"/>
          <w:b/>
          <w:sz w:val="40"/>
          <w:szCs w:val="40"/>
        </w:rPr>
        <w:t>Abschlussbogen</w:t>
      </w:r>
      <w:r w:rsidRPr="00BF3A0E">
        <w:rPr>
          <w:rFonts w:ascii="Arial" w:hAnsi="Arial" w:cs="Arial"/>
          <w:b/>
          <w:sz w:val="40"/>
          <w:szCs w:val="40"/>
        </w:rPr>
        <w:t xml:space="preserve"> </w:t>
      </w:r>
      <w:r w:rsidR="005D2155" w:rsidRPr="005D2155">
        <w:rPr>
          <w:rFonts w:ascii="Arial" w:hAnsi="Arial" w:cs="Arial"/>
          <w:b/>
          <w:sz w:val="40"/>
          <w:szCs w:val="40"/>
        </w:rPr>
        <w:t>zu Integrierten Handlungskonzepten (I</w:t>
      </w:r>
      <w:r w:rsidR="0038551E">
        <w:rPr>
          <w:rFonts w:ascii="Arial" w:hAnsi="Arial" w:cs="Arial"/>
          <w:b/>
          <w:sz w:val="40"/>
          <w:szCs w:val="40"/>
        </w:rPr>
        <w:t>SE</w:t>
      </w:r>
      <w:r w:rsidR="005D2155" w:rsidRPr="005D2155">
        <w:rPr>
          <w:rFonts w:ascii="Arial" w:hAnsi="Arial" w:cs="Arial"/>
          <w:b/>
          <w:sz w:val="40"/>
          <w:szCs w:val="40"/>
        </w:rPr>
        <w:t>K) – Schwerpunkt Brach- und Konversionsflächen sowie Einzelvorhaben Regio.NRW</w:t>
      </w:r>
    </w:p>
    <w:p w14:paraId="61CC4FA3" w14:textId="344122EA" w:rsidR="00F75054" w:rsidRDefault="005D2155" w:rsidP="00F75054">
      <w:pPr>
        <w:spacing w:after="0"/>
        <w:rPr>
          <w:rFonts w:ascii="Arial" w:hAnsi="Arial" w:cs="Arial"/>
          <w:sz w:val="28"/>
          <w:szCs w:val="28"/>
        </w:rPr>
      </w:pPr>
      <w:r>
        <w:rPr>
          <w:rFonts w:ascii="Arial" w:hAnsi="Arial" w:cs="Arial"/>
          <w:sz w:val="28"/>
          <w:szCs w:val="28"/>
        </w:rPr>
        <w:br/>
      </w:r>
      <w:r w:rsidRPr="005D2155">
        <w:rPr>
          <w:rFonts w:ascii="Arial" w:hAnsi="Arial" w:cs="Arial"/>
          <w:sz w:val="28"/>
          <w:szCs w:val="28"/>
        </w:rPr>
        <w:t>Brach- und Konversionsflächen (Spez. Ziel 13</w:t>
      </w:r>
      <w:r w:rsidR="00C865FE">
        <w:rPr>
          <w:rFonts w:ascii="Arial" w:hAnsi="Arial" w:cs="Arial"/>
          <w:sz w:val="28"/>
          <w:szCs w:val="28"/>
        </w:rPr>
        <w:t xml:space="preserve">, </w:t>
      </w:r>
      <w:r w:rsidR="00C865FE" w:rsidRPr="00C865FE">
        <w:rPr>
          <w:rFonts w:ascii="Arial" w:hAnsi="Arial" w:cs="Arial"/>
          <w:sz w:val="28"/>
          <w:szCs w:val="28"/>
        </w:rPr>
        <w:t>ex-post Monitoringbogen</w:t>
      </w:r>
      <w:r w:rsidRPr="005D2155">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1E86034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34AC10E" w14:textId="6074EC3F" w:rsidR="007A199A" w:rsidRDefault="007A199A" w:rsidP="007A199A">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782040">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38710729" w:rsidR="00F75054" w:rsidRPr="007A199A" w:rsidRDefault="007A199A" w:rsidP="00646C85">
            <w:pPr>
              <w:spacing w:line="276" w:lineRule="auto"/>
              <w:rPr>
                <w:rFonts w:ascii="Arial" w:hAnsi="Arial" w:cs="Arial"/>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30332706"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782040">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259E32C4"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7CCA8AFE"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A64FEA">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A64FEA">
              <w:rPr>
                <w:rFonts w:ascii="Arial" w:hAnsi="Arial" w:cs="Arial"/>
                <w:sz w:val="20"/>
                <w:szCs w:val="20"/>
              </w:rPr>
              <w:t>w</w:t>
            </w:r>
            <w:r w:rsidR="00782040">
              <w:rPr>
                <w:rFonts w:ascii="Arial" w:hAnsi="Arial" w:cs="Arial"/>
                <w:sz w:val="20"/>
                <w:szCs w:val="20"/>
              </w:rPr>
              <w:t>urden</w:t>
            </w:r>
            <w:r>
              <w:rPr>
                <w:rFonts w:ascii="Arial" w:hAnsi="Arial" w:cs="Arial"/>
                <w:sz w:val="20"/>
                <w:szCs w:val="20"/>
              </w:rPr>
              <w:t>. Dabei ist unerheblich, ob Personalkosten förderfähig sind oder nicht.</w:t>
            </w:r>
            <w:r w:rsidRPr="00C42B4F">
              <w:rPr>
                <w:rFonts w:ascii="Arial" w:hAnsi="Arial" w:cs="Arial"/>
                <w:sz w:val="20"/>
                <w:szCs w:val="20"/>
              </w:rPr>
              <w:t xml:space="preserve"> </w:t>
            </w:r>
          </w:p>
          <w:p w14:paraId="21CAEC42" w14:textId="3358DCBE"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w:t>
            </w:r>
            <w:r w:rsidR="009F2D9A">
              <w:rPr>
                <w:rFonts w:ascii="Arial" w:hAnsi="Arial" w:cs="Arial"/>
                <w:sz w:val="20"/>
                <w:szCs w:val="20"/>
              </w:rPr>
              <w:t>entstanden sind</w:t>
            </w:r>
            <w:r>
              <w:rPr>
                <w:rFonts w:ascii="Arial" w:hAnsi="Arial" w:cs="Arial"/>
                <w:sz w:val="20"/>
                <w:szCs w:val="20"/>
              </w:rPr>
              <w:t xml:space="preserve">,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9F2D9A" w:rsidRPr="00483CE1">
              <w:rPr>
                <w:rFonts w:ascii="Arial" w:hAnsi="Arial" w:cs="Arial"/>
                <w:sz w:val="20"/>
                <w:szCs w:val="20"/>
              </w:rPr>
              <w:t xml:space="preserve">Davon ausgenommen sind Dienstleister, die das Projekt vollständig für den Zuwendungsempfänger </w:t>
            </w:r>
            <w:r w:rsidR="009F2D9A">
              <w:rPr>
                <w:rFonts w:ascii="Arial" w:hAnsi="Arial" w:cs="Arial"/>
                <w:sz w:val="20"/>
                <w:szCs w:val="20"/>
              </w:rPr>
              <w:t>erbracht haben</w:t>
            </w:r>
            <w:r w:rsidR="009F2D9A" w:rsidRPr="00483CE1">
              <w:rPr>
                <w:rFonts w:ascii="Arial" w:hAnsi="Arial" w:cs="Arial"/>
                <w:sz w:val="20"/>
                <w:szCs w:val="20"/>
              </w:rPr>
              <w:t xml:space="preserve">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55F596B6" w:rsidR="00F75054" w:rsidRPr="00C42B4F" w:rsidRDefault="00542BC8"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3B2F55BF"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Mitarbeiterin mit der f</w:t>
            </w:r>
            <w:r>
              <w:rPr>
                <w:rFonts w:ascii="Arial" w:hAnsi="Arial" w:cs="Arial"/>
                <w:sz w:val="20"/>
                <w:szCs w:val="20"/>
              </w:rPr>
              <w:t xml:space="preserve">achlichen Unterstützung </w:t>
            </w:r>
            <w:r w:rsidR="009F2D9A">
              <w:rPr>
                <w:rFonts w:ascii="Arial" w:hAnsi="Arial" w:cs="Arial"/>
                <w:sz w:val="20"/>
                <w:szCs w:val="20"/>
              </w:rPr>
              <w:t>des</w:t>
            </w:r>
            <w:r>
              <w:rPr>
                <w:rFonts w:ascii="Arial" w:hAnsi="Arial" w:cs="Arial"/>
                <w:sz w:val="20"/>
                <w:szCs w:val="20"/>
              </w:rPr>
              <w:t xml:space="preserve"> Vo</w:t>
            </w:r>
            <w:r w:rsidRPr="00C42B4F">
              <w:rPr>
                <w:rFonts w:ascii="Arial" w:hAnsi="Arial" w:cs="Arial"/>
                <w:sz w:val="20"/>
                <w:szCs w:val="20"/>
              </w:rPr>
              <w:t>rhabens beauftragt worden. Die Mitarbeiterin stock</w:t>
            </w:r>
            <w:r w:rsidR="009F2D9A">
              <w:rPr>
                <w:rFonts w:ascii="Arial" w:hAnsi="Arial" w:cs="Arial"/>
                <w:sz w:val="20"/>
                <w:szCs w:val="20"/>
              </w:rPr>
              <w:t>te</w:t>
            </w:r>
            <w:r w:rsidRPr="00C42B4F">
              <w:rPr>
                <w:rFonts w:ascii="Arial" w:hAnsi="Arial" w:cs="Arial"/>
                <w:sz w:val="20"/>
                <w:szCs w:val="20"/>
              </w:rPr>
              <w:t xml:space="preserve"> infolge des Projekts ihren Arbeitsumfang vertraglich nicht auf, sondern führt</w:t>
            </w:r>
            <w:r w:rsidR="009F2D9A">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5039EAED" w:rsidR="00503B02" w:rsidRPr="00753630" w:rsidRDefault="00F75054" w:rsidP="009F2D9A">
            <w:pPr>
              <w:spacing w:line="276" w:lineRule="auto"/>
              <w:rPr>
                <w:rFonts w:ascii="Arial" w:hAnsi="Arial" w:cs="Arial"/>
                <w:sz w:val="20"/>
                <w:szCs w:val="20"/>
              </w:rPr>
            </w:pPr>
            <w:r w:rsidRPr="005079AC">
              <w:rPr>
                <w:rFonts w:ascii="Arial" w:hAnsi="Arial" w:cs="Arial"/>
                <w:sz w:val="20"/>
                <w:szCs w:val="20"/>
              </w:rPr>
              <w:t>Hingegen ist eine Teilzeitkraft, die für die Durchführung des Proj</w:t>
            </w:r>
            <w:r w:rsidR="009F2D9A">
              <w:rPr>
                <w:rFonts w:ascii="Arial" w:hAnsi="Arial" w:cs="Arial"/>
                <w:sz w:val="20"/>
                <w:szCs w:val="20"/>
              </w:rPr>
              <w:t>ekts den Beschäftigungsumfang von einer 50%-Stelle</w:t>
            </w:r>
            <w:r w:rsidRPr="005079AC">
              <w:rPr>
                <w:rFonts w:ascii="Arial" w:hAnsi="Arial" w:cs="Arial"/>
                <w:sz w:val="20"/>
                <w:szCs w:val="20"/>
              </w:rPr>
              <w:t xml:space="preserve"> auf eine 75%-Stelle an</w:t>
            </w:r>
            <w:r w:rsidR="009F2D9A">
              <w:rPr>
                <w:rFonts w:ascii="Arial" w:hAnsi="Arial" w:cs="Arial"/>
                <w:sz w:val="20"/>
                <w:szCs w:val="20"/>
              </w:rPr>
              <w:t>ge</w:t>
            </w:r>
            <w:r w:rsidRPr="005079AC">
              <w:rPr>
                <w:rFonts w:ascii="Arial" w:hAnsi="Arial" w:cs="Arial"/>
                <w:sz w:val="20"/>
                <w:szCs w:val="20"/>
              </w:rPr>
              <w:t>passt</w:t>
            </w:r>
            <w:r w:rsidR="009F2D9A">
              <w:rPr>
                <w:rFonts w:ascii="Arial" w:hAnsi="Arial" w:cs="Arial"/>
                <w:sz w:val="20"/>
                <w:szCs w:val="20"/>
              </w:rPr>
              <w:t xml:space="preserve"> hatte</w:t>
            </w:r>
            <w:r w:rsidRPr="005079AC">
              <w:rPr>
                <w:rFonts w:ascii="Arial" w:hAnsi="Arial" w:cs="Arial"/>
                <w:sz w:val="20"/>
                <w:szCs w:val="20"/>
              </w:rPr>
              <w:t xml:space="preserve">, mit 0,25 VZÄ zu erfassen. </w:t>
            </w:r>
          </w:p>
        </w:tc>
      </w:tr>
      <w:tr w:rsidR="00F75054" w:rsidRPr="009D3F7B" w14:paraId="02CEB1AA" w14:textId="77777777" w:rsidTr="00646C85">
        <w:trPr>
          <w:trHeight w:val="445"/>
        </w:trPr>
        <w:tc>
          <w:tcPr>
            <w:tcW w:w="9467" w:type="dxa"/>
          </w:tcPr>
          <w:p w14:paraId="79E1EC9E" w14:textId="11982543"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u 2. Anzahl der 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3FF900D"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2979E46" w14:textId="77777777" w:rsidR="00AF3F24" w:rsidRDefault="00AF3F24" w:rsidP="00AF3F24">
            <w:pPr>
              <w:spacing w:line="276" w:lineRule="auto"/>
              <w:rPr>
                <w:rFonts w:ascii="Arial" w:hAnsi="Arial" w:cs="Arial"/>
                <w:sz w:val="20"/>
                <w:szCs w:val="20"/>
              </w:rPr>
            </w:pPr>
            <w:r w:rsidRPr="00483CE1">
              <w:rPr>
                <w:rFonts w:ascii="Arial" w:hAnsi="Arial" w:cs="Arial"/>
                <w:sz w:val="20"/>
                <w:szCs w:val="20"/>
              </w:rPr>
              <w:t>Beschäftigungsumfang von Personen bzw. Stellen beim Zuwendungsempfänger, die infolge der erfolgreichen Projektdurchführung und nach Projektabschluss neu geschaffen worden sind oder in den kommenden 6 Monaten geschaffen werden sollen.</w:t>
            </w:r>
            <w:r>
              <w:rPr>
                <w:rFonts w:ascii="Arial" w:hAnsi="Arial" w:cs="Arial"/>
                <w:sz w:val="20"/>
                <w:szCs w:val="20"/>
              </w:rPr>
              <w:t xml:space="preserve"> </w:t>
            </w:r>
            <w:r w:rsidRPr="00483CE1">
              <w:rPr>
                <w:rFonts w:ascii="Arial" w:hAnsi="Arial" w:cs="Arial"/>
                <w:sz w:val="20"/>
                <w:szCs w:val="20"/>
              </w:rPr>
              <w:t xml:space="preserve">Stellen, die unter Indikator 1 erfasst worden sind, sollen auch hier erfasst werden, sofern sie nach Projektende fortbestehen bzw. weitergeführt werden sollen. </w:t>
            </w:r>
          </w:p>
          <w:p w14:paraId="7E8D0390" w14:textId="7DF8BF98" w:rsidR="00B24CBA" w:rsidRPr="009D3F7B" w:rsidRDefault="00F75054" w:rsidP="00AF3F24">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w:t>
            </w:r>
            <w:r>
              <w:rPr>
                <w:rFonts w:ascii="Arial" w:hAnsi="Arial" w:cs="Arial"/>
                <w:sz w:val="20"/>
                <w:szCs w:val="20"/>
              </w:rPr>
              <w:lastRenderedPageBreak/>
              <w:t>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w:t>
            </w: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B564E54"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4AD4365F" w14:textId="77777777"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p>
          <w:p w14:paraId="4A36B014" w14:textId="77777777" w:rsidR="00F75054" w:rsidRDefault="00F75054" w:rsidP="00646C85">
            <w:pPr>
              <w:spacing w:line="276" w:lineRule="auto"/>
              <w:rPr>
                <w:rFonts w:ascii="Arial" w:hAnsi="Arial" w:cs="Arial"/>
                <w:sz w:val="20"/>
                <w:szCs w:val="20"/>
              </w:rPr>
            </w:pPr>
          </w:p>
          <w:p w14:paraId="2F0DD9BD" w14:textId="77777777" w:rsidR="00F75054" w:rsidRDefault="00F75054" w:rsidP="00646C85">
            <w:pPr>
              <w:spacing w:line="276" w:lineRule="auto"/>
              <w:rPr>
                <w:rFonts w:ascii="Arial" w:hAnsi="Arial" w:cs="Arial"/>
                <w:sz w:val="20"/>
                <w:szCs w:val="20"/>
              </w:rPr>
            </w:pP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233A3F41" w14:textId="77777777" w:rsidR="00542BC8" w:rsidRDefault="00542BC8" w:rsidP="00646C85">
            <w:pPr>
              <w:spacing w:line="276" w:lineRule="auto"/>
              <w:rPr>
                <w:rFonts w:ascii="Arial" w:hAnsi="Arial" w:cs="Arial"/>
                <w:b/>
                <w:sz w:val="20"/>
                <w:szCs w:val="20"/>
              </w:rPr>
            </w:pPr>
            <w:r>
              <w:rPr>
                <w:rFonts w:ascii="Arial" w:hAnsi="Arial" w:cs="Arial"/>
                <w:b/>
                <w:sz w:val="20"/>
                <w:szCs w:val="20"/>
              </w:rPr>
              <w:t>Hinweise und Beispiele:</w:t>
            </w:r>
          </w:p>
          <w:p w14:paraId="3A5D4F48" w14:textId="0C996819" w:rsidR="00F75054"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p w14:paraId="67FDCE24" w14:textId="77777777" w:rsidR="007A199A" w:rsidRPr="00660EDC" w:rsidRDefault="007A199A" w:rsidP="00646C85">
            <w:pPr>
              <w:spacing w:line="276" w:lineRule="auto"/>
              <w:rPr>
                <w:rFonts w:ascii="Arial" w:hAnsi="Arial" w:cs="Arial"/>
                <w:sz w:val="20"/>
                <w:szCs w:val="20"/>
              </w:rPr>
            </w:pP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00E5FC0"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2584D757" w14:textId="77777777" w:rsidR="00542BC8" w:rsidRDefault="00542BC8" w:rsidP="00646C85">
            <w:pPr>
              <w:rPr>
                <w:rFonts w:ascii="Arial" w:hAnsi="Arial" w:cs="Arial"/>
                <w:b/>
                <w:sz w:val="20"/>
                <w:szCs w:val="20"/>
              </w:rPr>
            </w:pPr>
            <w:r>
              <w:rPr>
                <w:rFonts w:ascii="Arial" w:hAnsi="Arial" w:cs="Arial"/>
                <w:b/>
                <w:sz w:val="20"/>
                <w:szCs w:val="20"/>
              </w:rPr>
              <w:t>Hinweise und Beispiele:</w:t>
            </w:r>
          </w:p>
          <w:p w14:paraId="28B75533" w14:textId="7445FE4B" w:rsidR="00F75054" w:rsidRDefault="00F75054" w:rsidP="00646C85">
            <w:pPr>
              <w:rPr>
                <w:rFonts w:ascii="Arial" w:hAnsi="Arial" w:cs="Arial"/>
                <w:sz w:val="20"/>
                <w:szCs w:val="20"/>
              </w:rPr>
            </w:pPr>
            <w:r>
              <w:rPr>
                <w:rFonts w:ascii="Arial" w:hAnsi="Arial" w:cs="Arial"/>
                <w:sz w:val="20"/>
                <w:szCs w:val="20"/>
              </w:rPr>
              <w:t xml:space="preserve">Hier ist in der Regel mit NEIN zu antworten. </w:t>
            </w:r>
          </w:p>
          <w:p w14:paraId="03078387" w14:textId="77777777" w:rsidR="007A199A" w:rsidRPr="003A79FB" w:rsidRDefault="007A199A" w:rsidP="00646C85">
            <w:pPr>
              <w:rPr>
                <w:rFonts w:ascii="Arial" w:hAnsi="Arial" w:cs="Arial"/>
                <w:sz w:val="20"/>
                <w:szCs w:val="20"/>
              </w:rPr>
            </w:pP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0E98AC2D"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35AF0ABB" w:rsidR="00F75054" w:rsidRDefault="00ED7F2E"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5A6D7F07" w14:textId="77777777" w:rsidR="00ED7F2E" w:rsidRDefault="00ED7F2E" w:rsidP="00646C85">
            <w:pPr>
              <w:spacing w:line="276" w:lineRule="auto"/>
              <w:rPr>
                <w:rFonts w:ascii="Arial" w:hAnsi="Arial" w:cs="Arial"/>
                <w:b/>
                <w:sz w:val="20"/>
                <w:szCs w:val="20"/>
              </w:rPr>
            </w:pPr>
          </w:p>
          <w:p w14:paraId="1012E5FC" w14:textId="242C5CDA" w:rsidR="00F75054" w:rsidRPr="00BF3A0E" w:rsidRDefault="00542BC8" w:rsidP="00646C85">
            <w:pPr>
              <w:rPr>
                <w:b/>
              </w:rPr>
            </w:pPr>
            <w:r>
              <w:rPr>
                <w:rFonts w:ascii="Arial" w:hAnsi="Arial" w:cs="Arial"/>
                <w:b/>
                <w:sz w:val="20"/>
                <w:szCs w:val="20"/>
              </w:rPr>
              <w:t>Hinweise und Beispiele:</w:t>
            </w:r>
            <w:r w:rsidR="00F75054" w:rsidRPr="00BF3A0E">
              <w:rPr>
                <w:b/>
              </w:rPr>
              <w:t xml:space="preserve"> </w:t>
            </w:r>
          </w:p>
          <w:p w14:paraId="400DA52D" w14:textId="2C0203F5"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bl>
    <w:p w14:paraId="35A930B7" w14:textId="77777777" w:rsidR="007A199A" w:rsidRDefault="007A199A">
      <w:r>
        <w:br w:type="page"/>
      </w: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9D3F7B" w14:paraId="26953BD3" w14:textId="77777777" w:rsidTr="00144A13">
        <w:trPr>
          <w:trHeight w:val="872"/>
        </w:trPr>
        <w:tc>
          <w:tcPr>
            <w:tcW w:w="9467" w:type="dxa"/>
          </w:tcPr>
          <w:p w14:paraId="51A02FBD" w14:textId="29CC9FDA"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6. </w:t>
            </w:r>
            <w:r w:rsidR="00782040">
              <w:rPr>
                <w:rFonts w:ascii="Arial" w:hAnsi="Arial" w:cs="Arial"/>
                <w:b/>
                <w:i/>
                <w:color w:val="1F497D" w:themeColor="text2"/>
                <w:sz w:val="20"/>
                <w:szCs w:val="20"/>
              </w:rPr>
              <w:t>Neu</w:t>
            </w:r>
            <w:r w:rsidR="00342DB6">
              <w:rPr>
                <w:rFonts w:ascii="Arial" w:hAnsi="Arial" w:cs="Arial"/>
                <w:b/>
                <w:i/>
                <w:color w:val="1F497D" w:themeColor="text2"/>
                <w:sz w:val="20"/>
                <w:szCs w:val="20"/>
              </w:rPr>
              <w:t xml:space="preserve"> geschaffene/sanie</w:t>
            </w:r>
            <w:r w:rsidR="005D2155">
              <w:rPr>
                <w:rFonts w:ascii="Arial" w:hAnsi="Arial" w:cs="Arial"/>
                <w:b/>
                <w:i/>
                <w:color w:val="1F497D" w:themeColor="text2"/>
                <w:sz w:val="20"/>
                <w:szCs w:val="20"/>
              </w:rPr>
              <w:t>rte Flächen in dem</w:t>
            </w:r>
            <w:r w:rsidR="00342DB6">
              <w:rPr>
                <w:rFonts w:ascii="Arial" w:hAnsi="Arial" w:cs="Arial"/>
                <w:b/>
                <w:i/>
                <w:color w:val="1F497D" w:themeColor="text2"/>
                <w:sz w:val="20"/>
                <w:szCs w:val="20"/>
              </w:rPr>
              <w:t xml:space="preserve"> geförderten </w:t>
            </w:r>
            <w:r w:rsidR="005D2155">
              <w:rPr>
                <w:rFonts w:ascii="Arial" w:hAnsi="Arial" w:cs="Arial"/>
                <w:b/>
                <w:i/>
                <w:color w:val="1F497D" w:themeColor="text2"/>
                <w:sz w:val="20"/>
                <w:szCs w:val="20"/>
              </w:rPr>
              <w:t>Projekt</w:t>
            </w:r>
            <w:r w:rsidR="00342DB6">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542F091A">
                      <wp:simplePos x="0" y="0"/>
                      <wp:positionH relativeFrom="column">
                        <wp:posOffset>-50165</wp:posOffset>
                      </wp:positionH>
                      <wp:positionV relativeFrom="paragraph">
                        <wp:posOffset>-195580</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756B51E8" id="Abgerundete rechteckige Legende 21" o:spid="_x0000_s1026" type="#_x0000_t62" style="position:absolute;margin-left:-3.95pt;margin-top:-15.4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7766A363" w14:textId="77777777" w:rsidR="00AF3F24" w:rsidRDefault="00521B99" w:rsidP="005D2155">
            <w:pPr>
              <w:spacing w:line="276" w:lineRule="auto"/>
              <w:rPr>
                <w:rFonts w:ascii="Arial" w:hAnsi="Arial" w:cs="Arial"/>
                <w:sz w:val="20"/>
                <w:szCs w:val="20"/>
              </w:rPr>
            </w:pPr>
            <w:r>
              <w:rPr>
                <w:rFonts w:ascii="Arial" w:hAnsi="Arial" w:cs="Arial"/>
                <w:sz w:val="20"/>
                <w:szCs w:val="20"/>
              </w:rPr>
              <w:t xml:space="preserve">Hier geht es um </w:t>
            </w:r>
            <w:r w:rsidR="005D2155">
              <w:rPr>
                <w:rFonts w:ascii="Arial" w:hAnsi="Arial" w:cs="Arial"/>
                <w:sz w:val="20"/>
                <w:szCs w:val="20"/>
              </w:rPr>
              <w:t xml:space="preserve">die </w:t>
            </w:r>
            <w:r w:rsidR="00AF3F24">
              <w:rPr>
                <w:rFonts w:ascii="Arial" w:hAnsi="Arial" w:cs="Arial"/>
                <w:sz w:val="20"/>
                <w:szCs w:val="20"/>
              </w:rPr>
              <w:t>entwickelten bzw. aufgewerteten Flächen</w:t>
            </w:r>
            <w:r w:rsidR="005D2155">
              <w:rPr>
                <w:rFonts w:ascii="Arial" w:hAnsi="Arial" w:cs="Arial"/>
                <w:sz w:val="20"/>
                <w:szCs w:val="20"/>
              </w:rPr>
              <w:t xml:space="preserve">. </w:t>
            </w:r>
            <w:r w:rsidR="006D1E53">
              <w:rPr>
                <w:rFonts w:ascii="Arial" w:hAnsi="Arial" w:cs="Arial"/>
                <w:sz w:val="20"/>
                <w:szCs w:val="20"/>
              </w:rPr>
              <w:t xml:space="preserve">Als </w:t>
            </w:r>
            <w:r w:rsidR="006D1E53" w:rsidRPr="00C11562">
              <w:rPr>
                <w:rFonts w:ascii="Arial" w:hAnsi="Arial" w:cs="Arial"/>
                <w:sz w:val="20"/>
                <w:szCs w:val="20"/>
              </w:rPr>
              <w:t>Gesamtfläche</w:t>
            </w:r>
            <w:r w:rsidR="006D1E53">
              <w:rPr>
                <w:rFonts w:ascii="Arial" w:hAnsi="Arial" w:cs="Arial"/>
                <w:sz w:val="20"/>
                <w:szCs w:val="20"/>
              </w:rPr>
              <w:t xml:space="preserve"> sind alle Flächen zu erfassen, die für wirtschaftliche, ökologische oder stadtentwicklungspolitische Zwecke </w:t>
            </w:r>
            <w:r w:rsidR="00AF3F24">
              <w:rPr>
                <w:rFonts w:ascii="Arial" w:hAnsi="Arial" w:cs="Arial"/>
                <w:sz w:val="20"/>
                <w:szCs w:val="20"/>
              </w:rPr>
              <w:t>saniert bzw. entwickelt wurden</w:t>
            </w:r>
            <w:r w:rsidR="006D1E53">
              <w:rPr>
                <w:rFonts w:ascii="Arial" w:hAnsi="Arial" w:cs="Arial"/>
                <w:sz w:val="20"/>
                <w:szCs w:val="20"/>
              </w:rPr>
              <w:t>. Dabei sollen nur förderfähige</w:t>
            </w:r>
            <w:r w:rsidR="00AF3F24">
              <w:rPr>
                <w:rFonts w:ascii="Arial" w:hAnsi="Arial" w:cs="Arial"/>
                <w:sz w:val="20"/>
                <w:szCs w:val="20"/>
              </w:rPr>
              <w:t xml:space="preserve"> Flächen berücksichtigt werden.</w:t>
            </w:r>
          </w:p>
          <w:p w14:paraId="52A0997E" w14:textId="4A2220D0" w:rsidR="00521B99" w:rsidRPr="005017E1" w:rsidRDefault="00646C85" w:rsidP="005D2155">
            <w:pPr>
              <w:spacing w:line="276" w:lineRule="auto"/>
              <w:rPr>
                <w:rFonts w:ascii="Arial" w:hAnsi="Arial" w:cs="Arial"/>
                <w:sz w:val="20"/>
                <w:szCs w:val="20"/>
              </w:rPr>
            </w:pPr>
            <w:r w:rsidRPr="005017E1">
              <w:rPr>
                <w:rFonts w:ascii="Arial" w:hAnsi="Arial" w:cs="Arial"/>
                <w:sz w:val="20"/>
                <w:szCs w:val="20"/>
              </w:rPr>
              <w:t xml:space="preserve">Freiflächen </w:t>
            </w:r>
            <w:r w:rsidR="006D1E53">
              <w:rPr>
                <w:rFonts w:ascii="Arial" w:hAnsi="Arial" w:cs="Arial"/>
                <w:sz w:val="20"/>
                <w:szCs w:val="20"/>
              </w:rPr>
              <w:t xml:space="preserve">sind </w:t>
            </w:r>
            <w:r w:rsidR="005D2155">
              <w:rPr>
                <w:rFonts w:ascii="Arial" w:hAnsi="Arial" w:cs="Arial"/>
                <w:sz w:val="20"/>
                <w:szCs w:val="20"/>
              </w:rPr>
              <w:t xml:space="preserve">die </w:t>
            </w:r>
            <w:r w:rsidRPr="005017E1">
              <w:rPr>
                <w:rFonts w:ascii="Arial" w:hAnsi="Arial" w:cs="Arial"/>
                <w:sz w:val="20"/>
                <w:szCs w:val="20"/>
              </w:rPr>
              <w:t xml:space="preserve">Flächen, die nach der Sanierung bzw. Entwicklung </w:t>
            </w:r>
            <w:r w:rsidR="00AF3F24">
              <w:rPr>
                <w:rFonts w:ascii="Arial" w:hAnsi="Arial" w:cs="Arial"/>
                <w:sz w:val="20"/>
                <w:szCs w:val="20"/>
              </w:rPr>
              <w:t xml:space="preserve">nun </w:t>
            </w:r>
            <w:r w:rsidR="006D1E53">
              <w:rPr>
                <w:rFonts w:ascii="Arial" w:hAnsi="Arial" w:cs="Arial"/>
                <w:sz w:val="20"/>
                <w:szCs w:val="20"/>
              </w:rPr>
              <w:t xml:space="preserve">wieder </w:t>
            </w:r>
            <w:r w:rsidRPr="005017E1">
              <w:rPr>
                <w:rFonts w:ascii="Arial" w:hAnsi="Arial" w:cs="Arial"/>
                <w:sz w:val="20"/>
                <w:szCs w:val="20"/>
              </w:rPr>
              <w:t>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53B6CAF7" w14:textId="171DB919" w:rsidR="00521B99" w:rsidRPr="00521B99" w:rsidRDefault="00521B99" w:rsidP="00C11562">
            <w:pPr>
              <w:spacing w:line="276" w:lineRule="auto"/>
              <w:rPr>
                <w:rFonts w:ascii="Arial" w:hAnsi="Arial" w:cs="Arial"/>
                <w:sz w:val="20"/>
                <w:szCs w:val="20"/>
              </w:rPr>
            </w:pPr>
          </w:p>
        </w:tc>
      </w:tr>
      <w:tr w:rsidR="00F75054" w:rsidRPr="009D3F7B" w14:paraId="25280D5B" w14:textId="77777777" w:rsidTr="00B24CBA">
        <w:trPr>
          <w:trHeight w:val="1305"/>
        </w:trPr>
        <w:tc>
          <w:tcPr>
            <w:tcW w:w="9467" w:type="dxa"/>
          </w:tcPr>
          <w:p w14:paraId="4624DC2D" w14:textId="2A1D47D0"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6D1E53" w:rsidRPr="006D1E53">
              <w:rPr>
                <w:rFonts w:ascii="Arial" w:hAnsi="Arial" w:cs="Arial"/>
                <w:b/>
                <w:i/>
                <w:color w:val="1F497D" w:themeColor="text2"/>
                <w:sz w:val="20"/>
                <w:szCs w:val="20"/>
              </w:rPr>
              <w:t>Nutzfläche in den leerstehendenden Gebäuden, die durch das Vorhaben neu- bzw. nachgenutzt werden (qm)</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416DC864"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14BCAC3B" w14:textId="2088A71F" w:rsidR="00F75054" w:rsidRPr="00863868" w:rsidRDefault="00AF3F24" w:rsidP="008D147D">
            <w:pPr>
              <w:spacing w:line="276" w:lineRule="auto"/>
              <w:rPr>
                <w:rFonts w:ascii="Arial" w:hAnsi="Arial" w:cs="Arial"/>
                <w:sz w:val="20"/>
                <w:szCs w:val="20"/>
              </w:rPr>
            </w:pPr>
            <w:r>
              <w:rPr>
                <w:rFonts w:ascii="Arial" w:hAnsi="Arial" w:cs="Arial"/>
                <w:sz w:val="20"/>
                <w:szCs w:val="20"/>
              </w:rPr>
              <w:t xml:space="preserve">Hier geht es um die Flächen in Gebäuden, die jetzt </w:t>
            </w:r>
            <w:r w:rsidR="00771542">
              <w:rPr>
                <w:rFonts w:ascii="Arial" w:hAnsi="Arial" w:cs="Arial"/>
                <w:sz w:val="20"/>
                <w:szCs w:val="20"/>
              </w:rPr>
              <w:t>instand gesetzt</w:t>
            </w:r>
            <w:r>
              <w:rPr>
                <w:rFonts w:ascii="Arial" w:hAnsi="Arial" w:cs="Arial"/>
                <w:sz w:val="20"/>
                <w:szCs w:val="20"/>
              </w:rPr>
              <w:t xml:space="preserve"> </w:t>
            </w:r>
            <w:r w:rsidR="00771542">
              <w:rPr>
                <w:rFonts w:ascii="Arial" w:hAnsi="Arial" w:cs="Arial"/>
                <w:sz w:val="20"/>
                <w:szCs w:val="20"/>
              </w:rPr>
              <w:t>und damit</w:t>
            </w:r>
            <w:r>
              <w:rPr>
                <w:rFonts w:ascii="Arial" w:hAnsi="Arial" w:cs="Arial"/>
                <w:sz w:val="20"/>
                <w:szCs w:val="20"/>
              </w:rPr>
              <w:t xml:space="preserve"> für </w:t>
            </w:r>
            <w:r w:rsidR="008D147D">
              <w:rPr>
                <w:rFonts w:ascii="Arial" w:hAnsi="Arial" w:cs="Arial"/>
                <w:sz w:val="20"/>
                <w:szCs w:val="20"/>
              </w:rPr>
              <w:t>die vorgesehenen</w:t>
            </w:r>
            <w:r>
              <w:rPr>
                <w:rFonts w:ascii="Arial" w:hAnsi="Arial" w:cs="Arial"/>
                <w:sz w:val="20"/>
                <w:szCs w:val="20"/>
              </w:rPr>
              <w:t xml:space="preserve"> Nachnutzungen</w:t>
            </w:r>
            <w:r w:rsidR="00771542">
              <w:rPr>
                <w:rFonts w:ascii="Arial" w:hAnsi="Arial" w:cs="Arial"/>
                <w:sz w:val="20"/>
                <w:szCs w:val="20"/>
              </w:rPr>
              <w:t xml:space="preserve"> </w:t>
            </w:r>
            <w:r>
              <w:rPr>
                <w:rFonts w:ascii="Arial" w:hAnsi="Arial" w:cs="Arial"/>
                <w:sz w:val="20"/>
                <w:szCs w:val="20"/>
              </w:rPr>
              <w:t>verfügbar</w:t>
            </w:r>
            <w:r w:rsidR="00771542">
              <w:rPr>
                <w:rFonts w:ascii="Arial" w:hAnsi="Arial" w:cs="Arial"/>
                <w:sz w:val="20"/>
                <w:szCs w:val="20"/>
              </w:rPr>
              <w:t xml:space="preserve"> </w:t>
            </w:r>
            <w:r w:rsidR="008D147D">
              <w:rPr>
                <w:rFonts w:ascii="Arial" w:hAnsi="Arial" w:cs="Arial"/>
                <w:sz w:val="20"/>
                <w:szCs w:val="20"/>
              </w:rPr>
              <w:t>sind</w:t>
            </w:r>
            <w:r w:rsidR="00CC1EB0">
              <w:rPr>
                <w:rFonts w:ascii="Arial" w:hAnsi="Arial" w:cs="Arial"/>
                <w:sz w:val="20"/>
                <w:szCs w:val="20"/>
              </w:rPr>
              <w:t>.</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p>
    <w:sectPr w:rsidR="00861DA6"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01E4" w14:textId="77777777" w:rsidR="008D147D" w:rsidRDefault="008D147D" w:rsidP="000B422C">
      <w:pPr>
        <w:spacing w:after="0" w:line="240" w:lineRule="auto"/>
      </w:pPr>
      <w:r>
        <w:separator/>
      </w:r>
    </w:p>
  </w:endnote>
  <w:endnote w:type="continuationSeparator" w:id="0">
    <w:p w14:paraId="1BBB01E5" w14:textId="77777777" w:rsidR="008D147D" w:rsidRDefault="008D147D"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898939"/>
      <w:docPartObj>
        <w:docPartGallery w:val="Page Numbers (Bottom of Page)"/>
        <w:docPartUnique/>
      </w:docPartObj>
    </w:sdtPr>
    <w:sdtEndPr/>
    <w:sdtContent>
      <w:p w14:paraId="371A7440" w14:textId="616A81D5" w:rsidR="008D147D" w:rsidRDefault="00C865FE">
        <w:pPr>
          <w:pStyle w:val="Fuzeile"/>
          <w:jc w:val="right"/>
        </w:pPr>
        <w:r>
          <w:t xml:space="preserve">Stand: </w:t>
        </w:r>
        <w:r w:rsidR="0038551E">
          <w:t>05.04.2018</w:t>
        </w:r>
        <w:r w:rsidR="008D147D">
          <w:tab/>
        </w:r>
        <w:r w:rsidR="008D147D">
          <w:tab/>
        </w:r>
        <w:r w:rsidR="008D147D">
          <w:fldChar w:fldCharType="begin"/>
        </w:r>
        <w:r w:rsidR="008D147D">
          <w:instrText>PAGE   \* MERGEFORMAT</w:instrText>
        </w:r>
        <w:r w:rsidR="008D147D">
          <w:fldChar w:fldCharType="separate"/>
        </w:r>
        <w:r w:rsidR="0038551E">
          <w:rPr>
            <w:noProof/>
          </w:rPr>
          <w:t>1</w:t>
        </w:r>
        <w:r w:rsidR="008D147D">
          <w:fldChar w:fldCharType="end"/>
        </w:r>
      </w:p>
    </w:sdtContent>
  </w:sdt>
  <w:p w14:paraId="221B63BB" w14:textId="77777777" w:rsidR="008D147D" w:rsidRDefault="008D147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01E2" w14:textId="77777777" w:rsidR="008D147D" w:rsidRDefault="008D147D" w:rsidP="000B422C">
      <w:pPr>
        <w:spacing w:after="0" w:line="240" w:lineRule="auto"/>
      </w:pPr>
      <w:r>
        <w:separator/>
      </w:r>
    </w:p>
  </w:footnote>
  <w:footnote w:type="continuationSeparator" w:id="0">
    <w:p w14:paraId="1BBB01E3" w14:textId="77777777" w:rsidR="008D147D" w:rsidRDefault="008D147D" w:rsidP="000B422C">
      <w:pPr>
        <w:spacing w:after="0" w:line="240" w:lineRule="auto"/>
      </w:pPr>
      <w:r>
        <w:continuationSeparator/>
      </w:r>
    </w:p>
  </w:footnote>
  <w:footnote w:id="1">
    <w:p w14:paraId="3E104E8A" w14:textId="04C20D4C" w:rsidR="008D147D" w:rsidRPr="003E4BD8" w:rsidRDefault="008D147D" w:rsidP="003E4BD8">
      <w:pPr>
        <w:pStyle w:val="NurText"/>
        <w:rPr>
          <w:sz w:val="18"/>
        </w:rPr>
      </w:pPr>
      <w:r w:rsidRPr="003E4BD8">
        <w:rPr>
          <w:rStyle w:val="Funotenzeichen"/>
          <w:sz w:val="18"/>
        </w:rPr>
        <w:footnoteRef/>
      </w:r>
      <w:r w:rsidRPr="003E4BD8">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01E6" w14:textId="77777777" w:rsidR="008D147D" w:rsidRPr="00F9671E" w:rsidRDefault="008D147D"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8D147D" w:rsidRPr="00F9671E" w:rsidRDefault="008D147D" w:rsidP="000B422C">
    <w:pPr>
      <w:pStyle w:val="Kopfzeile"/>
      <w:rPr>
        <w:sz w:val="16"/>
        <w:szCs w:val="16"/>
      </w:rPr>
    </w:pPr>
    <w:r w:rsidRPr="00F9671E">
      <w:rPr>
        <w:sz w:val="16"/>
        <w:szCs w:val="16"/>
      </w:rPr>
      <w:t>FÜR DEN EUROPÄISCHEN FONDS FÜR REGIONALE ENTWICKLUNG</w:t>
    </w:r>
  </w:p>
  <w:p w14:paraId="1BBB01E8" w14:textId="77777777" w:rsidR="008D147D" w:rsidRPr="00F9671E" w:rsidRDefault="008D147D"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925F3"/>
    <w:rsid w:val="000B422C"/>
    <w:rsid w:val="000D3E45"/>
    <w:rsid w:val="000F10D6"/>
    <w:rsid w:val="00137DFB"/>
    <w:rsid w:val="00144A13"/>
    <w:rsid w:val="00152E4A"/>
    <w:rsid w:val="00183B74"/>
    <w:rsid w:val="001A4A92"/>
    <w:rsid w:val="001D6BC8"/>
    <w:rsid w:val="00234670"/>
    <w:rsid w:val="00241D8F"/>
    <w:rsid w:val="002457FD"/>
    <w:rsid w:val="00286EF7"/>
    <w:rsid w:val="002B588A"/>
    <w:rsid w:val="002F127F"/>
    <w:rsid w:val="00340104"/>
    <w:rsid w:val="00342DB6"/>
    <w:rsid w:val="00343D52"/>
    <w:rsid w:val="0035592F"/>
    <w:rsid w:val="00375985"/>
    <w:rsid w:val="00382DD5"/>
    <w:rsid w:val="0038551E"/>
    <w:rsid w:val="003E4BD8"/>
    <w:rsid w:val="003F4B80"/>
    <w:rsid w:val="0048577D"/>
    <w:rsid w:val="004F7525"/>
    <w:rsid w:val="005017E1"/>
    <w:rsid w:val="00503B02"/>
    <w:rsid w:val="00521B99"/>
    <w:rsid w:val="00542BC8"/>
    <w:rsid w:val="00594CE7"/>
    <w:rsid w:val="005C6515"/>
    <w:rsid w:val="005D2155"/>
    <w:rsid w:val="005E630B"/>
    <w:rsid w:val="00603584"/>
    <w:rsid w:val="00604399"/>
    <w:rsid w:val="00604630"/>
    <w:rsid w:val="0061060C"/>
    <w:rsid w:val="00646C85"/>
    <w:rsid w:val="00655315"/>
    <w:rsid w:val="00674236"/>
    <w:rsid w:val="00685B01"/>
    <w:rsid w:val="006D1E53"/>
    <w:rsid w:val="006D78C2"/>
    <w:rsid w:val="00701A9A"/>
    <w:rsid w:val="00717E73"/>
    <w:rsid w:val="00733B24"/>
    <w:rsid w:val="00771542"/>
    <w:rsid w:val="00782040"/>
    <w:rsid w:val="007A199A"/>
    <w:rsid w:val="007D6183"/>
    <w:rsid w:val="007D7564"/>
    <w:rsid w:val="007F0D01"/>
    <w:rsid w:val="008137CC"/>
    <w:rsid w:val="00861DA6"/>
    <w:rsid w:val="0088715E"/>
    <w:rsid w:val="00892E85"/>
    <w:rsid w:val="0089404D"/>
    <w:rsid w:val="008A535B"/>
    <w:rsid w:val="008B5714"/>
    <w:rsid w:val="008D147D"/>
    <w:rsid w:val="0090027F"/>
    <w:rsid w:val="00917509"/>
    <w:rsid w:val="00941734"/>
    <w:rsid w:val="009E523A"/>
    <w:rsid w:val="009F2D9A"/>
    <w:rsid w:val="009F3BD0"/>
    <w:rsid w:val="00A11706"/>
    <w:rsid w:val="00A17F52"/>
    <w:rsid w:val="00A4350E"/>
    <w:rsid w:val="00A64FEA"/>
    <w:rsid w:val="00A664D4"/>
    <w:rsid w:val="00A90A0C"/>
    <w:rsid w:val="00AE0BFA"/>
    <w:rsid w:val="00AF3F24"/>
    <w:rsid w:val="00AF7319"/>
    <w:rsid w:val="00B1394C"/>
    <w:rsid w:val="00B24CBA"/>
    <w:rsid w:val="00B81178"/>
    <w:rsid w:val="00B8415D"/>
    <w:rsid w:val="00B90121"/>
    <w:rsid w:val="00B9637A"/>
    <w:rsid w:val="00BF336F"/>
    <w:rsid w:val="00C11562"/>
    <w:rsid w:val="00C1687C"/>
    <w:rsid w:val="00C30C48"/>
    <w:rsid w:val="00C564FB"/>
    <w:rsid w:val="00C865FE"/>
    <w:rsid w:val="00CC1EB0"/>
    <w:rsid w:val="00CC6DA7"/>
    <w:rsid w:val="00CE4D0C"/>
    <w:rsid w:val="00D43EF3"/>
    <w:rsid w:val="00D70C9F"/>
    <w:rsid w:val="00D7482E"/>
    <w:rsid w:val="00D87F52"/>
    <w:rsid w:val="00DB27AB"/>
    <w:rsid w:val="00DE5244"/>
    <w:rsid w:val="00E02D04"/>
    <w:rsid w:val="00E37E89"/>
    <w:rsid w:val="00E5415A"/>
    <w:rsid w:val="00E94051"/>
    <w:rsid w:val="00EC5CD2"/>
    <w:rsid w:val="00ED7F2E"/>
    <w:rsid w:val="00EE3258"/>
    <w:rsid w:val="00EE3A04"/>
    <w:rsid w:val="00F221AE"/>
    <w:rsid w:val="00F70123"/>
    <w:rsid w:val="00F74E7F"/>
    <w:rsid w:val="00F75054"/>
    <w:rsid w:val="00F9671E"/>
    <w:rsid w:val="00FC34C6"/>
    <w:rsid w:val="00FD4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E4B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BD8"/>
    <w:rPr>
      <w:sz w:val="20"/>
      <w:szCs w:val="20"/>
    </w:rPr>
  </w:style>
  <w:style w:type="character" w:styleId="Funotenzeichen">
    <w:name w:val="footnote reference"/>
    <w:basedOn w:val="Absatz-Standardschriftart"/>
    <w:uiPriority w:val="99"/>
    <w:semiHidden/>
    <w:unhideWhenUsed/>
    <w:rsid w:val="003E4BD8"/>
    <w:rPr>
      <w:vertAlign w:val="superscript"/>
    </w:rPr>
  </w:style>
  <w:style w:type="paragraph" w:styleId="NurText">
    <w:name w:val="Plain Text"/>
    <w:basedOn w:val="Standard"/>
    <w:link w:val="NurTextZchn"/>
    <w:uiPriority w:val="99"/>
    <w:unhideWhenUsed/>
    <w:rsid w:val="003E4BD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4BD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3E4BD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E4BD8"/>
    <w:rPr>
      <w:sz w:val="20"/>
      <w:szCs w:val="20"/>
    </w:rPr>
  </w:style>
  <w:style w:type="character" w:styleId="Funotenzeichen">
    <w:name w:val="footnote reference"/>
    <w:basedOn w:val="Absatz-Standardschriftart"/>
    <w:uiPriority w:val="99"/>
    <w:semiHidden/>
    <w:unhideWhenUsed/>
    <w:rsid w:val="003E4BD8"/>
    <w:rPr>
      <w:vertAlign w:val="superscript"/>
    </w:rPr>
  </w:style>
  <w:style w:type="paragraph" w:styleId="NurText">
    <w:name w:val="Plain Text"/>
    <w:basedOn w:val="Standard"/>
    <w:link w:val="NurTextZchn"/>
    <w:uiPriority w:val="99"/>
    <w:unhideWhenUsed/>
    <w:rsid w:val="003E4BD8"/>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3E4B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017806333">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FVPEMUK6FSKQ-2019-893</_dlc_DocId>
    <_dlc_DocIdUrl xmlns="26465793-c385-49d2-a14c-edbae9307302">
      <Url>https://pwa.agiplan.de/0917_16/_layouts/DocIdRedir.aspx?ID=FVPEMUK6FSKQ-2019-893</Url>
      <Description>FVPEMUK6FSKQ-2019-893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2.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3.xml><?xml version="1.0" encoding="utf-8"?>
<ds:datastoreItem xmlns:ds="http://schemas.openxmlformats.org/officeDocument/2006/customXml" ds:itemID="{212B1520-A43B-4B66-93F9-C658FA65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0291F-63CD-41F5-A03F-DF23B126B2AB}">
  <ds:schemaRefs>
    <ds:schemaRef ds:uri="http://schemas.microsoft.com/office/2006/metadata/properties"/>
    <ds:schemaRef ds:uri="http://purl.org/dc/elements/1.1/"/>
    <ds:schemaRef ds:uri="26465793-c385-49d2-a14c-edbae9307302"/>
    <ds:schemaRef ds:uri="http://schemas.microsoft.com/office/infopath/2007/PartnerControls"/>
    <ds:schemaRef ds:uri="http://schemas.openxmlformats.org/package/2006/metadata/core-properties"/>
    <ds:schemaRef ds:uri="http://schemas.microsoft.com/office/2006/documentManagement/types"/>
    <ds:schemaRef ds:uri="http://purl.org/dc/terms/"/>
    <ds:schemaRef ds:uri="9dd238b3-8bf7-474e-a581-798c79d28aef"/>
    <ds:schemaRef ds:uri="http://www.w3.org/XML/1998/namespace"/>
    <ds:schemaRef ds:uri="http://purl.org/dc/dcmitype/"/>
  </ds:schemaRefs>
</ds:datastoreItem>
</file>

<file path=customXml/itemProps5.xml><?xml version="1.0" encoding="utf-8"?>
<ds:datastoreItem xmlns:ds="http://schemas.openxmlformats.org/officeDocument/2006/customXml" ds:itemID="{711A62AF-59BF-4809-80BD-A94EF8F1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Latza, Jennifer</cp:lastModifiedBy>
  <cp:revision>20</cp:revision>
  <cp:lastPrinted>2014-12-04T10:29:00Z</cp:lastPrinted>
  <dcterms:created xsi:type="dcterms:W3CDTF">2017-01-11T12:15:00Z</dcterms:created>
  <dcterms:modified xsi:type="dcterms:W3CDTF">2018-04-05T11:46:00Z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6a4d011a-1340-44df-a58d-ab2bbaa6d805</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